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spacing w:after="0" w:lineRule="auto"/>
        <w:jc w:val="center"/>
        <w:rPr>
          <w:rFonts w:ascii="Lustria" w:cs="Lustria" w:eastAsia="Lustria" w:hAnsi="Lustria"/>
        </w:rPr>
      </w:pPr>
      <w:r w:rsidDel="00000000" w:rsidR="00000000" w:rsidRPr="00000000">
        <w:rPr>
          <w:rFonts w:ascii="Lustria" w:cs="Lustria" w:eastAsia="Lustria" w:hAnsi="Lustria"/>
          <w:rtl w:val="0"/>
        </w:rPr>
        <w:t xml:space="preserve">West Virginia Medicaid Aged and Disabled Waiver</w:t>
      </w:r>
    </w:p>
    <w:p w:rsidR="00000000" w:rsidDel="00000000" w:rsidP="00000000" w:rsidRDefault="00000000" w:rsidRPr="00000000" w14:paraId="00000003">
      <w:pPr>
        <w:spacing w:after="0" w:lineRule="auto"/>
        <w:jc w:val="center"/>
        <w:rPr>
          <w:rFonts w:ascii="Lustria" w:cs="Lustria" w:eastAsia="Lustria" w:hAnsi="Lustria"/>
        </w:rPr>
      </w:pPr>
      <w:r w:rsidDel="00000000" w:rsidR="00000000" w:rsidRPr="00000000">
        <w:rPr>
          <w:rFonts w:ascii="Lustria" w:cs="Lustria" w:eastAsia="Lustria" w:hAnsi="Lustria"/>
          <w:rtl w:val="0"/>
        </w:rPr>
        <w:t xml:space="preserve">Quality Improvement Advisory Council Meeting Minutes</w:t>
      </w:r>
    </w:p>
    <w:p w:rsidR="00000000" w:rsidDel="00000000" w:rsidP="00000000" w:rsidRDefault="00000000" w:rsidRPr="00000000" w14:paraId="00000004">
      <w:pPr>
        <w:spacing w:after="0" w:lineRule="auto"/>
        <w:jc w:val="center"/>
        <w:rPr>
          <w:rFonts w:ascii="Lustria" w:cs="Lustria" w:eastAsia="Lustria" w:hAnsi="Lustria"/>
        </w:rPr>
      </w:pPr>
      <w:r w:rsidDel="00000000" w:rsidR="00000000" w:rsidRPr="00000000">
        <w:rPr>
          <w:rFonts w:ascii="Lustria" w:cs="Lustria" w:eastAsia="Lustria" w:hAnsi="Lustria"/>
          <w:rtl w:val="0"/>
        </w:rPr>
        <w:t xml:space="preserve">April 27, 2021</w:t>
      </w:r>
    </w:p>
    <w:p w:rsidR="00000000" w:rsidDel="00000000" w:rsidP="00000000" w:rsidRDefault="00000000" w:rsidRPr="00000000" w14:paraId="00000005">
      <w:pPr>
        <w:spacing w:after="0" w:lineRule="auto"/>
        <w:jc w:val="center"/>
        <w:rPr>
          <w:rFonts w:ascii="Lustria" w:cs="Lustria" w:eastAsia="Lustria" w:hAnsi="Lustria"/>
        </w:rPr>
      </w:pPr>
      <w:r w:rsidDel="00000000" w:rsidR="00000000" w:rsidRPr="00000000">
        <w:rPr>
          <w:rtl w:val="0"/>
        </w:rPr>
      </w:r>
    </w:p>
    <w:p w:rsidR="00000000" w:rsidDel="00000000" w:rsidP="00000000" w:rsidRDefault="00000000" w:rsidRPr="00000000" w14:paraId="00000006">
      <w:pPr>
        <w:spacing w:after="0" w:lineRule="auto"/>
        <w:jc w:val="center"/>
        <w:rPr>
          <w:rFonts w:ascii="Lustria" w:cs="Lustria" w:eastAsia="Lustria" w:hAnsi="Lustria"/>
        </w:rPr>
      </w:pPr>
      <w:r w:rsidDel="00000000" w:rsidR="00000000" w:rsidRPr="00000000">
        <w:rPr>
          <w:rtl w:val="0"/>
        </w:rPr>
      </w:r>
    </w:p>
    <w:p w:rsidR="00000000" w:rsidDel="00000000" w:rsidP="00000000" w:rsidRDefault="00000000" w:rsidRPr="00000000" w14:paraId="00000007">
      <w:pPr>
        <w:spacing w:after="0" w:lineRule="auto"/>
        <w:rPr>
          <w:rFonts w:ascii="Lustria" w:cs="Lustria" w:eastAsia="Lustria" w:hAnsi="Lustria"/>
        </w:rPr>
      </w:pPr>
      <w:r w:rsidDel="00000000" w:rsidR="00000000" w:rsidRPr="00000000">
        <w:rPr>
          <w:rFonts w:ascii="Lustria" w:cs="Lustria" w:eastAsia="Lustria" w:hAnsi="Lustria"/>
          <w:u w:val="single"/>
          <w:rtl w:val="0"/>
        </w:rPr>
        <w:t xml:space="preserve">Attendees</w:t>
      </w:r>
      <w:r w:rsidDel="00000000" w:rsidR="00000000" w:rsidRPr="00000000">
        <w:rPr>
          <w:rFonts w:ascii="Lustria" w:cs="Lustria" w:eastAsia="Lustria" w:hAnsi="Lustria"/>
          <w:rtl w:val="0"/>
        </w:rPr>
        <w:t xml:space="preserve">:</w:t>
        <w:tab/>
        <w:tab/>
        <w:tab/>
        <w:tab/>
        <w:tab/>
        <w:t xml:space="preserve">  </w:t>
      </w:r>
    </w:p>
    <w:p w:rsidR="00000000" w:rsidDel="00000000" w:rsidP="00000000" w:rsidRDefault="00000000" w:rsidRPr="00000000" w14:paraId="00000008">
      <w:pPr>
        <w:spacing w:after="0" w:lineRule="auto"/>
        <w:rPr>
          <w:rFonts w:ascii="Lustria" w:cs="Lustria" w:eastAsia="Lustria" w:hAnsi="Lustria"/>
        </w:rPr>
      </w:pPr>
      <w:r w:rsidDel="00000000" w:rsidR="00000000" w:rsidRPr="00000000">
        <w:rPr>
          <w:rFonts w:ascii="Lustria" w:cs="Lustria" w:eastAsia="Lustria" w:hAnsi="Lustria"/>
          <w:rtl w:val="0"/>
        </w:rPr>
        <w:t xml:space="preserve">LuAnn Summers</w:t>
        <w:tab/>
        <w:tab/>
        <w:t xml:space="preserve">Radene Hinkle</w:t>
        <w:tab/>
        <w:tab/>
        <w:tab/>
      </w:r>
    </w:p>
    <w:p w:rsidR="00000000" w:rsidDel="00000000" w:rsidP="00000000" w:rsidRDefault="00000000" w:rsidRPr="00000000" w14:paraId="00000009">
      <w:pPr>
        <w:spacing w:after="0" w:lineRule="auto"/>
        <w:rPr>
          <w:rFonts w:ascii="Lustria" w:cs="Lustria" w:eastAsia="Lustria" w:hAnsi="Lustria"/>
        </w:rPr>
      </w:pPr>
      <w:r w:rsidDel="00000000" w:rsidR="00000000" w:rsidRPr="00000000">
        <w:rPr>
          <w:rFonts w:ascii="Lustria" w:cs="Lustria" w:eastAsia="Lustria" w:hAnsi="Lustria"/>
          <w:rtl w:val="0"/>
        </w:rPr>
        <w:t xml:space="preserve">Dan Bias</w:t>
        <w:tab/>
        <w:tab/>
        <w:tab/>
        <w:t xml:space="preserve">Cecilia Brown </w:t>
        <w:tab/>
        <w:tab/>
        <w:tab/>
        <w:tab/>
        <w:tab/>
        <w:tab/>
      </w:r>
    </w:p>
    <w:p w:rsidR="00000000" w:rsidDel="00000000" w:rsidP="00000000" w:rsidRDefault="00000000" w:rsidRPr="00000000" w14:paraId="0000000A">
      <w:pPr>
        <w:spacing w:after="0" w:lineRule="auto"/>
        <w:rPr>
          <w:rFonts w:ascii="Lustria" w:cs="Lustria" w:eastAsia="Lustria" w:hAnsi="Lustria"/>
        </w:rPr>
      </w:pPr>
      <w:r w:rsidDel="00000000" w:rsidR="00000000" w:rsidRPr="00000000">
        <w:rPr>
          <w:rFonts w:ascii="Lustria" w:cs="Lustria" w:eastAsia="Lustria" w:hAnsi="Lustria"/>
          <w:rtl w:val="0"/>
        </w:rPr>
        <w:t xml:space="preserve">Susan Silverman</w:t>
        <w:tab/>
        <w:tab/>
        <w:t xml:space="preserve">Amy Orndoff</w:t>
        <w:tab/>
        <w:tab/>
        <w:tab/>
      </w:r>
    </w:p>
    <w:p w:rsidR="00000000" w:rsidDel="00000000" w:rsidP="00000000" w:rsidRDefault="00000000" w:rsidRPr="00000000" w14:paraId="0000000B">
      <w:pPr>
        <w:spacing w:after="0" w:lineRule="auto"/>
        <w:rPr>
          <w:rFonts w:ascii="Lustria" w:cs="Lustria" w:eastAsia="Lustria" w:hAnsi="Lustria"/>
        </w:rPr>
      </w:pPr>
      <w:r w:rsidDel="00000000" w:rsidR="00000000" w:rsidRPr="00000000">
        <w:rPr>
          <w:rFonts w:ascii="Lustria" w:cs="Lustria" w:eastAsia="Lustria" w:hAnsi="Lustria"/>
          <w:rtl w:val="0"/>
        </w:rPr>
        <w:t xml:space="preserve">Vanessa VanGilder</w:t>
        <w:tab/>
        <w:tab/>
        <w:t xml:space="preserve">Elissa Hughes</w:t>
        <w:tab/>
      </w:r>
    </w:p>
    <w:p w:rsidR="00000000" w:rsidDel="00000000" w:rsidP="00000000" w:rsidRDefault="00000000" w:rsidRPr="00000000" w14:paraId="0000000C">
      <w:pPr>
        <w:spacing w:after="0" w:lineRule="auto"/>
        <w:rPr>
          <w:rFonts w:ascii="Lustria" w:cs="Lustria" w:eastAsia="Lustria" w:hAnsi="Lustria"/>
        </w:rPr>
      </w:pPr>
      <w:r w:rsidDel="00000000" w:rsidR="00000000" w:rsidRPr="00000000">
        <w:rPr>
          <w:rFonts w:ascii="Lustria" w:cs="Lustria" w:eastAsia="Lustria" w:hAnsi="Lustria"/>
          <w:rtl w:val="0"/>
        </w:rPr>
        <w:t xml:space="preserve">Sharon Slack</w:t>
        <w:tab/>
        <w:tab/>
        <w:tab/>
        <w:t xml:space="preserve">Sara Martin</w:t>
      </w:r>
    </w:p>
    <w:p w:rsidR="00000000" w:rsidDel="00000000" w:rsidP="00000000" w:rsidRDefault="00000000" w:rsidRPr="00000000" w14:paraId="0000000D">
      <w:pPr>
        <w:spacing w:after="0" w:lineRule="auto"/>
        <w:rPr>
          <w:rFonts w:ascii="Lustria" w:cs="Lustria" w:eastAsia="Lustria" w:hAnsi="Lustria"/>
        </w:rPr>
      </w:pPr>
      <w:r w:rsidDel="00000000" w:rsidR="00000000" w:rsidRPr="00000000">
        <w:rPr>
          <w:rFonts w:ascii="Lustria" w:cs="Lustria" w:eastAsia="Lustria" w:hAnsi="Lustria"/>
          <w:rtl w:val="0"/>
        </w:rPr>
        <w:t xml:space="preserve">Taniua Hardy</w:t>
        <w:tab/>
        <w:tab/>
        <w:tab/>
        <w:t xml:space="preserve">Katherine Randall</w:t>
      </w:r>
    </w:p>
    <w:p w:rsidR="00000000" w:rsidDel="00000000" w:rsidP="00000000" w:rsidRDefault="00000000" w:rsidRPr="00000000" w14:paraId="0000000E">
      <w:pPr>
        <w:spacing w:after="0" w:lineRule="auto"/>
        <w:rPr>
          <w:rFonts w:ascii="Lustria" w:cs="Lustria" w:eastAsia="Lustria" w:hAnsi="Lustria"/>
        </w:rPr>
      </w:pPr>
      <w:r w:rsidDel="00000000" w:rsidR="00000000" w:rsidRPr="00000000">
        <w:rPr>
          <w:rFonts w:ascii="Lustria" w:cs="Lustria" w:eastAsia="Lustria" w:hAnsi="Lustria"/>
          <w:rtl w:val="0"/>
        </w:rPr>
        <w:t xml:space="preserve">Tammy Grueser</w:t>
        <w:tab/>
        <w:tab/>
        <w:tab/>
        <w:t xml:space="preserve">Tami Shamblin</w:t>
      </w:r>
    </w:p>
    <w:p w:rsidR="00000000" w:rsidDel="00000000" w:rsidP="00000000" w:rsidRDefault="00000000" w:rsidRPr="00000000" w14:paraId="0000000F">
      <w:pPr>
        <w:spacing w:after="0" w:lineRule="auto"/>
        <w:rPr>
          <w:rFonts w:ascii="Lustria" w:cs="Lustria" w:eastAsia="Lustria" w:hAnsi="Lustria"/>
        </w:rPr>
      </w:pPr>
      <w:r w:rsidDel="00000000" w:rsidR="00000000" w:rsidRPr="00000000">
        <w:rPr>
          <w:rFonts w:ascii="Lustria" w:cs="Lustria" w:eastAsia="Lustria" w:hAnsi="Lustria"/>
          <w:rtl w:val="0"/>
        </w:rPr>
        <w:t xml:space="preserve">John Raby</w:t>
        <w:tab/>
        <w:tab/>
        <w:tab/>
        <w:t xml:space="preserve">Sherry Wooten</w:t>
      </w:r>
    </w:p>
    <w:p w:rsidR="00000000" w:rsidDel="00000000" w:rsidP="00000000" w:rsidRDefault="00000000" w:rsidRPr="00000000" w14:paraId="00000010">
      <w:pPr>
        <w:spacing w:after="0" w:lineRule="auto"/>
        <w:rPr>
          <w:rFonts w:ascii="Lustria" w:cs="Lustria" w:eastAsia="Lustria" w:hAnsi="Lustria"/>
        </w:rPr>
      </w:pPr>
      <w:r w:rsidDel="00000000" w:rsidR="00000000" w:rsidRPr="00000000">
        <w:rPr>
          <w:rFonts w:ascii="Lustria" w:cs="Lustria" w:eastAsia="Lustria" w:hAnsi="Lustria"/>
          <w:rtl w:val="0"/>
        </w:rPr>
        <w:t xml:space="preserve">Debra Redman</w:t>
      </w:r>
    </w:p>
    <w:p w:rsidR="00000000" w:rsidDel="00000000" w:rsidP="00000000" w:rsidRDefault="00000000" w:rsidRPr="00000000" w14:paraId="00000011">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Welcome</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Cecilia Brown welcomed Council members to the meeting.  Due to the COVID 19 pandemic, the meeting continues to be conducted via conference call.</w:t>
      </w:r>
    </w:p>
    <w:p w:rsidR="00000000" w:rsidDel="00000000" w:rsidP="00000000" w:rsidRDefault="00000000" w:rsidRPr="00000000" w14:paraId="0000001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Meeting Minutes</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Minutes from the January 2021 meeting were reviewed.  Sherry Wooten made a motion to approve, motion was seconded by Tammy Grueser.</w:t>
      </w:r>
    </w:p>
    <w:p w:rsidR="00000000" w:rsidDel="00000000" w:rsidP="00000000" w:rsidRDefault="00000000" w:rsidRPr="00000000" w14:paraId="0000001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Take me Home (TMH) Transition Update</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Marcus Canaday gave the update.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For the quarter:</w:t>
      </w:r>
    </w:p>
    <w:p w:rsidR="00000000" w:rsidDel="00000000" w:rsidP="00000000" w:rsidRDefault="00000000" w:rsidRPr="00000000" w14:paraId="0000001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252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27 referrals.  </w:t>
      </w:r>
    </w:p>
    <w:p w:rsidR="00000000" w:rsidDel="00000000" w:rsidP="00000000" w:rsidRDefault="00000000" w:rsidRPr="00000000" w14:paraId="0000001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252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23 intake interviews.  </w:t>
      </w:r>
    </w:p>
    <w:p w:rsidR="00000000" w:rsidDel="00000000" w:rsidP="00000000" w:rsidRDefault="00000000" w:rsidRPr="00000000" w14:paraId="0000001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252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21 transitions (10 in March).  </w:t>
      </w:r>
    </w:p>
    <w:p w:rsidR="00000000" w:rsidDel="00000000" w:rsidP="00000000" w:rsidRDefault="00000000" w:rsidRPr="00000000" w14:paraId="0000001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252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19 Transition Plans approved.</w:t>
      </w:r>
    </w:p>
    <w:p w:rsidR="00000000" w:rsidDel="00000000" w:rsidP="00000000" w:rsidRDefault="00000000" w:rsidRPr="00000000" w14:paraId="0000001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252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27 Qualifying Determinations. </w:t>
      </w:r>
    </w:p>
    <w:p w:rsidR="00000000" w:rsidDel="00000000" w:rsidP="00000000" w:rsidRDefault="00000000" w:rsidRPr="00000000" w14:paraId="0000001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252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Requested 16 ADW slots.</w:t>
      </w:r>
    </w:p>
    <w:p w:rsidR="00000000" w:rsidDel="00000000" w:rsidP="00000000" w:rsidRDefault="00000000" w:rsidRPr="00000000" w14:paraId="0000001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252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45 in the pipeline.</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TeleHealth</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The TeleHealth initiative continues.  They are still working towards enrolling 30 people in this Pilot and 23 are currently participating.  The Pilot has been extended through May to compensate for time lost due to the COVID-19 pandemic.  Pilot participants may not receive the full 6 months of monitoring, but five months should be sufficient.  They continue bi-weekly calls with WVU for Pilot updates.  Marcus plans to share the outcome of the Pilot with stakeholders and the Quality Advisory Council.</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The new budget was </w:t>
      </w:r>
      <w:r w:rsidDel="00000000" w:rsidR="00000000" w:rsidRPr="00000000">
        <w:rPr>
          <w:rFonts w:ascii="Lustria" w:cs="Lustria" w:eastAsia="Lustria" w:hAnsi="Lustria"/>
          <w:rtl w:val="0"/>
        </w:rPr>
        <w:t xml:space="preserve">updated</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and submitted to CMS.  Two new services were included. 1)  Wraparound Services:  Pill sorting, grabbers, Echo.  (Assistive Technology items and medical equipment are no longer available; however, MFP will try to supply these.), and 2) They are requesting funds for an Economic Service Worker (ESW) who will work with DHHR and KEPRO to compile documentation for financial eligibility review up front to submit to DHHR and if time allows, they will assist with Applications as well.</w:t>
      </w:r>
    </w:p>
    <w:p w:rsidR="00000000" w:rsidDel="00000000" w:rsidP="00000000" w:rsidRDefault="00000000" w:rsidRPr="00000000" w14:paraId="0000001F">
      <w:pPr>
        <w:spacing w:after="0" w:lineRule="auto"/>
        <w:ind w:left="720" w:firstLine="0"/>
        <w:rPr>
          <w:rFonts w:ascii="Lustria" w:cs="Lustria" w:eastAsia="Lustria" w:hAnsi="Lustria"/>
        </w:rPr>
      </w:pP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35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BMS Update</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Given by LuAnn Summers.</w:t>
      </w:r>
    </w:p>
    <w:p w:rsidR="00000000" w:rsidDel="00000000" w:rsidP="00000000" w:rsidRDefault="00000000" w:rsidRPr="00000000" w14:paraId="0000002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Individual NPI numbers</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This process is mostly completed, and few problems have been reported recently.</w:t>
      </w:r>
    </w:p>
    <w:p w:rsidR="00000000" w:rsidDel="00000000" w:rsidP="00000000" w:rsidRDefault="00000000" w:rsidRPr="00000000" w14:paraId="0000002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Electronic Visit Verification (EVV)</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Agencies have submitted their bulk enrollment documents to Gainwell who will send them to HHA.  Some agencies have already begun using EVV even though all of their employees may not yet be in the system.  HHA and Gainwell have participated in the bi-weekly provider Friday calls to answer questions.  Cece Brown pointed out to the Council that EVV is a federal mandate through the C.A.R.E.S. Act.  She also suggested it may be a good future goal to review the EVV process to see the positives and negatives of the system.</w:t>
      </w:r>
    </w:p>
    <w:p w:rsidR="00000000" w:rsidDel="00000000" w:rsidP="00000000" w:rsidRDefault="00000000" w:rsidRPr="00000000" w14:paraId="0000002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New ADW Manual</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BMS received comments on the new ADW manual and made some changes based on that feedback.  Some of the changes included removing required training for providers on the HHA EVV system because not all providers chose to use that system.  Another change involved redefining physical restraint to include use of hands and/or arms to stop someone from moving.  ADW does not allow it.  BMS plans to create training material on how to handle combative situations.</w:t>
      </w:r>
    </w:p>
    <w:p w:rsidR="00000000" w:rsidDel="00000000" w:rsidP="00000000" w:rsidRDefault="00000000" w:rsidRPr="00000000" w14:paraId="0000002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BMS is also reviewing the option of allowing Certified Nursing Assistants (CNA’s) to provide PA services as soon as they take CPR and First Aid without taking the other initial required training.  This may help alleviate the personal attendant shortage that many providers are experiencing.  </w:t>
      </w:r>
    </w:p>
    <w:p w:rsidR="00000000" w:rsidDel="00000000" w:rsidP="00000000" w:rsidRDefault="00000000" w:rsidRPr="00000000" w14:paraId="0000002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Personal Emergency Response Systems (PERS) have been added to the ADW manual.  Individual providers may choose their own vendor and can charge up to $50 per month for the service.  The only requirement for the vendor is that they must offer 24-hour monitoring.  If a member leaves an agency for any reason, the PERS unit will stay with the provider agency.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80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Cece added that from the Council’s perspective, each time a new service is introduced in our programs, the Council know about it first of all and should also study the pros and cons of the service and determine how it affects providers and the members.  Then they can determine if the service is effective and has merit for our programs.</w:t>
      </w:r>
    </w:p>
    <w:p w:rsidR="00000000" w:rsidDel="00000000" w:rsidP="00000000" w:rsidRDefault="00000000" w:rsidRPr="00000000" w14:paraId="0000002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Addition of Supervision</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BMS would like to offer a type of Supervision where the PA is simply supervising the member.  For example, the PA has completed everything on the Personal Attendant Log by 2:00 p.m. and the member’s family member doesn’t arrive home until 3:00 p.m.  That hour could be billed as Supervision where the PA could play cards, work puzzles, prepare a snack, etc. until the informal support(s) arrived in the home.  This would only be allowed if all other duties were completed.  BMS would like to moved away from strictly counting units and look more at outcomes and person-centered health and wellness. </w:t>
      </w:r>
    </w:p>
    <w:p w:rsidR="00000000" w:rsidDel="00000000" w:rsidP="00000000" w:rsidRDefault="00000000" w:rsidRPr="00000000" w14:paraId="00000028">
      <w:pPr>
        <w:spacing w:after="0" w:lineRule="auto"/>
        <w:ind w:left="810" w:hanging="630"/>
        <w:rPr>
          <w:rFonts w:ascii="Lustria" w:cs="Lustria" w:eastAsia="Lustria" w:hAnsi="Lustria"/>
        </w:rPr>
      </w:pPr>
      <w:r w:rsidDel="00000000" w:rsidR="00000000" w:rsidRPr="00000000">
        <w:rPr>
          <w:rFonts w:ascii="Lustria" w:cs="Lustria" w:eastAsia="Lustria" w:hAnsi="Lustria"/>
          <w:rtl w:val="0"/>
        </w:rPr>
        <w:t xml:space="preserve">V. </w:t>
        <w:tab/>
      </w:r>
      <w:r w:rsidDel="00000000" w:rsidR="00000000" w:rsidRPr="00000000">
        <w:rPr>
          <w:rFonts w:ascii="Lustria" w:cs="Lustria" w:eastAsia="Lustria" w:hAnsi="Lustria"/>
          <w:u w:val="single"/>
          <w:rtl w:val="0"/>
        </w:rPr>
        <w:t xml:space="preserve">Mortality Summary Review</w:t>
      </w:r>
      <w:r w:rsidDel="00000000" w:rsidR="00000000" w:rsidRPr="00000000">
        <w:rPr>
          <w:rFonts w:ascii="Lustria" w:cs="Lustria" w:eastAsia="Lustria" w:hAnsi="Lustria"/>
          <w:rtl w:val="0"/>
        </w:rPr>
        <w:t xml:space="preserve">.  Tammy Grueser gave an update. CMS is focusing on the review of mortalities, in particular, untimely and/or unexplained deaths.  BoSS reviews these cases and sends documentation to the BMS mortality review committee who determines if more information is needed or if anything was preventable.  </w:t>
      </w:r>
    </w:p>
    <w:p w:rsidR="00000000" w:rsidDel="00000000" w:rsidP="00000000" w:rsidRDefault="00000000" w:rsidRPr="00000000" w14:paraId="0000002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COVID 19.  From March 2020 through January 2021, there have been 15 deaths.  Some people had been in the hospital prior to the diagnosis.  One individual went into a rehabilitation center and contracted the virus there.  Some members tested positive at the pre-admission screening, and some were admitted to the hospital due to contracting the virus in the community.  </w:t>
      </w:r>
    </w:p>
    <w:p w:rsidR="00000000" w:rsidDel="00000000" w:rsidP="00000000" w:rsidRDefault="00000000" w:rsidRPr="00000000" w14:paraId="0000002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Cece Brown introduced Tami Shamblin to the Council and announced that she will be a part of this review process as well.</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Quality Council Issues List</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The Council’s Issues List is compiled each April by looking at data, Performance Measure Reports, Quality Council and Contract Management Meeting minutes, and provider monitoring reports, among other sources.  Cece shared some trends from 2017 to 2019 that have been addressed by the Council.  Going forward, other areas to work on include:</w:t>
      </w:r>
    </w:p>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484"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Staffing shortages.  This has become a big issue.  With COVID-19 and extra unemployment benefits, many former personal attendants are not working and are not looking for work.  Conflict-free case management is also affecting staffing due to agencies, especially senior centers, losing members because they must transfer to non-conflicted agencies.  </w:t>
      </w:r>
    </w:p>
    <w:p w:rsidR="00000000" w:rsidDel="00000000" w:rsidP="00000000" w:rsidRDefault="00000000" w:rsidRPr="00000000" w14:paraId="0000002D">
      <w:pPr>
        <w:spacing w:after="0" w:lineRule="auto"/>
        <w:ind w:left="810" w:firstLine="0"/>
        <w:rPr>
          <w:rFonts w:ascii="Lustria" w:cs="Lustria" w:eastAsia="Lustria" w:hAnsi="Lustria"/>
        </w:rPr>
      </w:pPr>
      <w:r w:rsidDel="00000000" w:rsidR="00000000" w:rsidRPr="00000000">
        <w:rPr>
          <w:rFonts w:ascii="Lustria" w:cs="Lustria" w:eastAsia="Lustria" w:hAnsi="Lustria"/>
          <w:rtl w:val="0"/>
        </w:rPr>
        <w:t xml:space="preserve"> Cece suggested adding goals for studying COVID-19 changes to see which ones should possibly be kept, staffing issues, completing adequate documentation for unsafe and/or non-compliant cases and member falls, to name a few.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F">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With no further business, the meeting was adjourned.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spacing w:after="0" w:lineRule="auto"/>
        <w:rPr>
          <w:rFonts w:ascii="Lustria" w:cs="Lustria" w:eastAsia="Lustria" w:hAnsi="Lustria"/>
        </w:rPr>
      </w:pPr>
      <w:r w:rsidDel="00000000" w:rsidR="00000000" w:rsidRPr="00000000">
        <w:rPr>
          <w:rFonts w:ascii="Lustria" w:cs="Lustria" w:eastAsia="Lustria" w:hAnsi="Lustria"/>
          <w:rtl w:val="0"/>
        </w:rPr>
        <w:t xml:space="preserve">Note:  Upcoming Quality Council dates:   October 26, 2021, and January 25, 2022.</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36">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37">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38">
      <w:pPr>
        <w:spacing w:after="0" w:lineRule="auto"/>
        <w:rPr>
          <w:rFonts w:ascii="Lustria" w:cs="Lustria" w:eastAsia="Lustria" w:hAnsi="Lustria"/>
          <w:b w:val="1"/>
          <w:i w:val="1"/>
        </w:rPr>
      </w:pPr>
      <w:r w:rsidDel="00000000" w:rsidR="00000000" w:rsidRPr="00000000">
        <w:rPr>
          <w:rFonts w:ascii="Lustria" w:cs="Lustria" w:eastAsia="Lustria" w:hAnsi="Lustria"/>
          <w:b w:val="1"/>
          <w:i w:val="1"/>
          <w:rtl w:val="0"/>
        </w:rPr>
        <w:t xml:space="preserve">Next Meeting:  July 27, 2021</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b w:val="0"/>
          <w:i w:val="0"/>
          <w:smallCaps w:val="0"/>
          <w:strike w:val="0"/>
          <w:color w:val="000000"/>
          <w:sz w:val="22"/>
          <w:szCs w:val="22"/>
          <w:u w:val="single"/>
          <w:shd w:fill="auto" w:val="clear"/>
          <w:vertAlign w:val="baseline"/>
        </w:rPr>
      </w:pPr>
      <w:r w:rsidDel="00000000" w:rsidR="00000000" w:rsidRPr="00000000">
        <w:rPr>
          <w:rtl w:val="0"/>
        </w:rPr>
      </w:r>
    </w:p>
    <w:sectPr>
      <w:headerReference r:id="rId7" w:type="default"/>
      <w:footerReference r:id="rId8" w:type="default"/>
      <w:pgSz w:h="15840" w:w="12240" w:orient="portrait"/>
      <w:pgMar w:bottom="1440" w:top="1440" w:left="1080" w:right="108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font w:name="Lustria">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114300" distR="114300" hidden="0" layoutInCell="1" locked="0" relativeHeight="0" simplePos="0">
              <wp:simplePos x="0" y="0"/>
              <wp:positionH relativeFrom="margin">
                <wp:align>center</wp:align>
              </wp:positionH>
              <wp:positionV relativeFrom="margin">
                <wp:align>center</wp:align>
              </wp:positionV>
              <wp:extent cx="5939092" cy="5939092"/>
              <wp:effectExtent b="0" l="0" r="0" t="0"/>
              <wp:wrapNone/>
              <wp:docPr id="1" name=""/>
              <a:graphic>
                <a:graphicData uri="http://schemas.microsoft.com/office/word/2010/wordprocessingShape">
                  <wps:wsp>
                    <wps:cNvSpPr/>
                    <wps:cNvPr id="2" name="Shape 2"/>
                    <wps:spPr>
                      <a:xfrm rot="-2700000">
                        <a:off x="2727260" y="2208693"/>
                        <a:ext cx="5237480" cy="3142615"/>
                      </a:xfrm>
                      <a:prstGeom prst="rect">
                        <a:avLst/>
                      </a:prstGeom>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DRAFT</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margin">
                <wp:align>center</wp:align>
              </wp:positionH>
              <wp:positionV relativeFrom="margin">
                <wp:align>center</wp:align>
              </wp:positionV>
              <wp:extent cx="5939092" cy="5939092"/>
              <wp:effectExtent b="0" l="0" r="0" t="0"/>
              <wp:wrapNone/>
              <wp:docPr id="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5939092" cy="5939092"/>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1800" w:hanging="360"/>
      </w:pPr>
      <w:rPr>
        <w:u w:val="single"/>
      </w:rPr>
    </w:lvl>
    <w:lvl w:ilvl="1">
      <w:start w:val="1"/>
      <w:numFmt w:val="bullet"/>
      <w:lvlText w:val="●"/>
      <w:lvlJc w:val="left"/>
      <w:pPr>
        <w:ind w:left="2520" w:hanging="360"/>
      </w:pPr>
      <w:rPr>
        <w:rFonts w:ascii="Noto Sans Symbols" w:cs="Noto Sans Symbols" w:eastAsia="Noto Sans Symbols" w:hAnsi="Noto Sans Symbols"/>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2">
    <w:lvl w:ilvl="0">
      <w:start w:val="6"/>
      <w:numFmt w:val="upperRoman"/>
      <w:lvlText w:val="%1."/>
      <w:lvlJc w:val="left"/>
      <w:pPr>
        <w:ind w:left="1080" w:hanging="720"/>
      </w:pPr>
      <w:rPr>
        <w:u w:val="single"/>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1484" w:hanging="360"/>
      </w:pPr>
      <w:rPr>
        <w:rFonts w:ascii="Noto Sans Symbols" w:cs="Noto Sans Symbols" w:eastAsia="Noto Sans Symbols" w:hAnsi="Noto Sans Symbols"/>
      </w:rPr>
    </w:lvl>
    <w:lvl w:ilvl="1">
      <w:start w:val="1"/>
      <w:numFmt w:val="bullet"/>
      <w:lvlText w:val="o"/>
      <w:lvlJc w:val="left"/>
      <w:pPr>
        <w:ind w:left="2204" w:hanging="360"/>
      </w:pPr>
      <w:rPr>
        <w:rFonts w:ascii="Courier New" w:cs="Courier New" w:eastAsia="Courier New" w:hAnsi="Courier New"/>
      </w:rPr>
    </w:lvl>
    <w:lvl w:ilvl="2">
      <w:start w:val="1"/>
      <w:numFmt w:val="bullet"/>
      <w:lvlText w:val="▪"/>
      <w:lvlJc w:val="left"/>
      <w:pPr>
        <w:ind w:left="2924" w:hanging="360"/>
      </w:pPr>
      <w:rPr>
        <w:rFonts w:ascii="Noto Sans Symbols" w:cs="Noto Sans Symbols" w:eastAsia="Noto Sans Symbols" w:hAnsi="Noto Sans Symbols"/>
      </w:rPr>
    </w:lvl>
    <w:lvl w:ilvl="3">
      <w:start w:val="1"/>
      <w:numFmt w:val="bullet"/>
      <w:lvlText w:val="●"/>
      <w:lvlJc w:val="left"/>
      <w:pPr>
        <w:ind w:left="3644" w:hanging="360"/>
      </w:pPr>
      <w:rPr>
        <w:rFonts w:ascii="Noto Sans Symbols" w:cs="Noto Sans Symbols" w:eastAsia="Noto Sans Symbols" w:hAnsi="Noto Sans Symbols"/>
      </w:rPr>
    </w:lvl>
    <w:lvl w:ilvl="4">
      <w:start w:val="1"/>
      <w:numFmt w:val="bullet"/>
      <w:lvlText w:val="o"/>
      <w:lvlJc w:val="left"/>
      <w:pPr>
        <w:ind w:left="4364" w:hanging="360"/>
      </w:pPr>
      <w:rPr>
        <w:rFonts w:ascii="Courier New" w:cs="Courier New" w:eastAsia="Courier New" w:hAnsi="Courier New"/>
      </w:rPr>
    </w:lvl>
    <w:lvl w:ilvl="5">
      <w:start w:val="1"/>
      <w:numFmt w:val="bullet"/>
      <w:lvlText w:val="▪"/>
      <w:lvlJc w:val="left"/>
      <w:pPr>
        <w:ind w:left="5084" w:hanging="360"/>
      </w:pPr>
      <w:rPr>
        <w:rFonts w:ascii="Noto Sans Symbols" w:cs="Noto Sans Symbols" w:eastAsia="Noto Sans Symbols" w:hAnsi="Noto Sans Symbols"/>
      </w:rPr>
    </w:lvl>
    <w:lvl w:ilvl="6">
      <w:start w:val="1"/>
      <w:numFmt w:val="bullet"/>
      <w:lvlText w:val="●"/>
      <w:lvlJc w:val="left"/>
      <w:pPr>
        <w:ind w:left="5804" w:hanging="360"/>
      </w:pPr>
      <w:rPr>
        <w:rFonts w:ascii="Noto Sans Symbols" w:cs="Noto Sans Symbols" w:eastAsia="Noto Sans Symbols" w:hAnsi="Noto Sans Symbols"/>
      </w:rPr>
    </w:lvl>
    <w:lvl w:ilvl="7">
      <w:start w:val="1"/>
      <w:numFmt w:val="bullet"/>
      <w:lvlText w:val="o"/>
      <w:lvlJc w:val="left"/>
      <w:pPr>
        <w:ind w:left="6524" w:hanging="360"/>
      </w:pPr>
      <w:rPr>
        <w:rFonts w:ascii="Courier New" w:cs="Courier New" w:eastAsia="Courier New" w:hAnsi="Courier New"/>
      </w:rPr>
    </w:lvl>
    <w:lvl w:ilvl="8">
      <w:start w:val="1"/>
      <w:numFmt w:val="bullet"/>
      <w:lvlText w:val="▪"/>
      <w:lvlJc w:val="left"/>
      <w:pPr>
        <w:ind w:left="7244" w:hanging="360"/>
      </w:pPr>
      <w:rPr>
        <w:rFonts w:ascii="Noto Sans Symbols" w:cs="Noto Sans Symbols" w:eastAsia="Noto Sans Symbols" w:hAnsi="Noto Sans Symbols"/>
      </w:rPr>
    </w:lvl>
  </w:abstractNum>
  <w:abstractNum w:abstractNumId="4">
    <w:lvl w:ilvl="0">
      <w:start w:val="1"/>
      <w:numFmt w:val="upperRoman"/>
      <w:lvlText w:val="%1."/>
      <w:lvlJc w:val="left"/>
      <w:pPr>
        <w:ind w:left="1350" w:hanging="720"/>
      </w:pPr>
      <w:rPr>
        <w:b w:val="0"/>
      </w:rPr>
    </w:lvl>
    <w:lvl w:ilvl="1">
      <w:start w:val="1"/>
      <w:numFmt w:val="bullet"/>
      <w:lvlText w:val="●"/>
      <w:lvlJc w:val="left"/>
      <w:pPr>
        <w:ind w:left="1800" w:hanging="360"/>
      </w:pPr>
      <w:rPr>
        <w:rFonts w:ascii="Noto Sans Symbols" w:cs="Noto Sans Symbols" w:eastAsia="Noto Sans Symbols" w:hAnsi="Noto Sans Symbols"/>
      </w:rPr>
    </w:lvl>
    <w:lvl w:ilvl="2">
      <w:start w:val="1"/>
      <w:numFmt w:val="bullet"/>
      <w:lvlText w:val="o"/>
      <w:lvlJc w:val="left"/>
      <w:pPr>
        <w:ind w:left="2520" w:hanging="180"/>
      </w:pPr>
      <w:rPr>
        <w:rFonts w:ascii="Courier New" w:cs="Courier New" w:eastAsia="Courier New" w:hAnsi="Courier New"/>
      </w:rPr>
    </w:lvl>
    <w:lvl w:ilvl="3">
      <w:start w:val="1"/>
      <w:numFmt w:val="bullet"/>
      <w:lvlText w:val="●"/>
      <w:lvlJc w:val="left"/>
      <w:pPr>
        <w:ind w:left="3240" w:hanging="360"/>
      </w:pPr>
      <w:rPr>
        <w:rFonts w:ascii="Noto Sans Symbols" w:cs="Noto Sans Symbols" w:eastAsia="Noto Sans Symbols" w:hAnsi="Noto Sans Symbols"/>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7D4FFC"/>
    <w:pPr>
      <w:ind w:left="720"/>
      <w:contextualSpacing w:val="1"/>
    </w:pPr>
  </w:style>
  <w:style w:type="paragraph" w:styleId="Header">
    <w:name w:val="header"/>
    <w:basedOn w:val="Normal"/>
    <w:link w:val="HeaderChar"/>
    <w:uiPriority w:val="99"/>
    <w:unhideWhenUsed w:val="1"/>
    <w:rsid w:val="005A4E05"/>
    <w:pPr>
      <w:tabs>
        <w:tab w:val="center" w:pos="4680"/>
        <w:tab w:val="right" w:pos="9360"/>
      </w:tabs>
      <w:spacing w:after="0" w:line="240" w:lineRule="auto"/>
    </w:pPr>
  </w:style>
  <w:style w:type="character" w:styleId="HeaderChar" w:customStyle="1">
    <w:name w:val="Header Char"/>
    <w:basedOn w:val="DefaultParagraphFont"/>
    <w:link w:val="Header"/>
    <w:uiPriority w:val="99"/>
    <w:rsid w:val="005A4E05"/>
  </w:style>
  <w:style w:type="paragraph" w:styleId="Footer">
    <w:name w:val="footer"/>
    <w:basedOn w:val="Normal"/>
    <w:link w:val="FooterChar"/>
    <w:uiPriority w:val="99"/>
    <w:unhideWhenUsed w:val="1"/>
    <w:rsid w:val="005A4E05"/>
    <w:pPr>
      <w:tabs>
        <w:tab w:val="center" w:pos="4680"/>
        <w:tab w:val="right" w:pos="9360"/>
      </w:tabs>
      <w:spacing w:after="0" w:line="240" w:lineRule="auto"/>
    </w:pPr>
  </w:style>
  <w:style w:type="character" w:styleId="FooterChar" w:customStyle="1">
    <w:name w:val="Footer Char"/>
    <w:basedOn w:val="DefaultParagraphFont"/>
    <w:link w:val="Footer"/>
    <w:uiPriority w:val="99"/>
    <w:rsid w:val="005A4E05"/>
  </w:style>
  <w:style w:type="paragraph" w:styleId="BalloonText">
    <w:name w:val="Balloon Text"/>
    <w:basedOn w:val="Normal"/>
    <w:link w:val="BalloonTextChar"/>
    <w:uiPriority w:val="99"/>
    <w:semiHidden w:val="1"/>
    <w:unhideWhenUsed w:val="1"/>
    <w:rsid w:val="009A11EC"/>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9A11EC"/>
    <w:rPr>
      <w:rFonts w:ascii="Tahoma" w:cs="Tahoma" w:hAnsi="Tahoma"/>
      <w:sz w:val="16"/>
      <w:szCs w:val="16"/>
    </w:rPr>
  </w:style>
  <w:style w:type="table" w:styleId="TableGrid">
    <w:name w:val="Table Grid"/>
    <w:basedOn w:val="TableNormal"/>
    <w:uiPriority w:val="59"/>
    <w:rsid w:val="008950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895043"/>
    <w:rPr>
      <w:color w:val="0000ff" w:themeColor="hyperlink"/>
      <w:u w:val="single"/>
    </w:rPr>
  </w:style>
  <w:style w:type="paragraph" w:styleId="NormalWeb">
    <w:name w:val="Normal (Web)"/>
    <w:basedOn w:val="Normal"/>
    <w:uiPriority w:val="99"/>
    <w:unhideWhenUsed w:val="1"/>
    <w:rsid w:val="00715164"/>
    <w:pPr>
      <w:spacing w:after="100" w:afterAutospacing="1" w:before="100" w:beforeAutospacing="1" w:line="240" w:lineRule="auto"/>
    </w:pPr>
    <w:rPr>
      <w:rFonts w:ascii="Times New Roman" w:cs="Times New Roman" w:hAnsi="Times New Roman"/>
      <w:sz w:val="24"/>
      <w:szCs w:val="24"/>
    </w:rPr>
  </w:style>
  <w:style w:type="character" w:styleId="FollowedHyperlink">
    <w:name w:val="FollowedHyperlink"/>
    <w:basedOn w:val="DefaultParagraphFont"/>
    <w:uiPriority w:val="99"/>
    <w:semiHidden w:val="1"/>
    <w:unhideWhenUsed w:val="1"/>
    <w:rsid w:val="006C7786"/>
    <w:rPr>
      <w:color w:val="800080"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Lustria-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82eRhEw3y0089ikebsXyU0+KKNg==">AMUW2mXMhUUmblIp+a6lRKpcCSwc7/yYW5O1MCae0YzElHyRb4yWMdGvz6B0ywwBmjvvv0mZFZ/DBboP3/HZsnhP4q93DNrISLYa6QBMrBiwpyH3CctoAO4=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2021-06-09T17:51:00Z</dcterms:created>
  <dc:creator>Silverman, Susan R</dc:creator>
</cp:coreProperties>
</file>